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623"/>
        <w:gridCol w:w="6439"/>
      </w:tblGrid>
      <w:tr w:rsidR="008527C2" w:rsidTr="008527C2">
        <w:tc>
          <w:tcPr>
            <w:tcW w:w="9212" w:type="dxa"/>
            <w:gridSpan w:val="2"/>
            <w:shd w:val="clear" w:color="auto" w:fill="1F4E79" w:themeFill="accent1" w:themeFillShade="80"/>
          </w:tcPr>
          <w:p w:rsidR="008527C2" w:rsidRDefault="008527C2" w:rsidP="008527C2">
            <w:pPr>
              <w:spacing w:before="120" w:after="120"/>
              <w:jc w:val="center"/>
              <w:rPr>
                <w:sz w:val="24"/>
                <w:szCs w:val="24"/>
              </w:rPr>
            </w:pPr>
            <w:bookmarkStart w:id="0" w:name="_GoBack"/>
            <w:bookmarkEnd w:id="0"/>
          </w:p>
        </w:tc>
      </w:tr>
      <w:tr w:rsidR="00B6354B" w:rsidTr="00B6354B">
        <w:tc>
          <w:tcPr>
            <w:tcW w:w="2660" w:type="dxa"/>
            <w:shd w:val="clear" w:color="auto" w:fill="9CC2E5" w:themeFill="accent1" w:themeFillTint="99"/>
          </w:tcPr>
          <w:p w:rsidR="00B6354B" w:rsidRPr="00B6354B" w:rsidRDefault="00B6354B" w:rsidP="008527C2">
            <w:pPr>
              <w:spacing w:before="120" w:after="120"/>
              <w:rPr>
                <w:b/>
                <w:sz w:val="24"/>
                <w:szCs w:val="24"/>
              </w:rPr>
            </w:pPr>
            <w:r w:rsidRPr="00B6354B">
              <w:rPr>
                <w:b/>
                <w:sz w:val="24"/>
                <w:szCs w:val="24"/>
              </w:rPr>
              <w:t>Poste à pourvoir :</w:t>
            </w:r>
          </w:p>
        </w:tc>
        <w:tc>
          <w:tcPr>
            <w:tcW w:w="6552" w:type="dxa"/>
          </w:tcPr>
          <w:p w:rsidR="00E07EAF" w:rsidRPr="007F3D3C" w:rsidRDefault="00E07EAF" w:rsidP="00E07EAF">
            <w:pPr>
              <w:pStyle w:val="Corpsdetexte"/>
              <w:jc w:val="center"/>
              <w:rPr>
                <w:b/>
                <w:sz w:val="28"/>
                <w:szCs w:val="28"/>
              </w:rPr>
            </w:pPr>
            <w:r w:rsidRPr="007F3D3C">
              <w:rPr>
                <w:b/>
                <w:sz w:val="28"/>
                <w:szCs w:val="28"/>
              </w:rPr>
              <w:t>Préparateur en pharmacie</w:t>
            </w:r>
          </w:p>
          <w:p w:rsidR="00E07EAF" w:rsidRPr="007F3D3C" w:rsidRDefault="00E07EAF" w:rsidP="00E07EAF">
            <w:pPr>
              <w:pStyle w:val="Corpsdetexte"/>
              <w:jc w:val="center"/>
              <w:rPr>
                <w:b/>
                <w:sz w:val="28"/>
                <w:szCs w:val="28"/>
              </w:rPr>
            </w:pPr>
            <w:r w:rsidRPr="007F3D3C">
              <w:rPr>
                <w:b/>
                <w:sz w:val="28"/>
                <w:szCs w:val="28"/>
              </w:rPr>
              <w:t>Dispositifs Médicaux Stériles</w:t>
            </w:r>
          </w:p>
          <w:p w:rsidR="00B6354B" w:rsidRDefault="00E07EAF" w:rsidP="00E07EAF">
            <w:pPr>
              <w:tabs>
                <w:tab w:val="left" w:pos="1320"/>
              </w:tabs>
              <w:spacing w:before="120" w:after="120"/>
              <w:rPr>
                <w:sz w:val="24"/>
                <w:szCs w:val="24"/>
              </w:rPr>
            </w:pPr>
            <w:r w:rsidRPr="007F3D3C">
              <w:rPr>
                <w:b/>
                <w:sz w:val="28"/>
                <w:szCs w:val="28"/>
              </w:rPr>
              <w:t>Secteur informatisation – référentiels - informations</w:t>
            </w:r>
          </w:p>
        </w:tc>
      </w:tr>
    </w:tbl>
    <w:p w:rsidR="00040B38" w:rsidRPr="00446EA4" w:rsidRDefault="00040B38">
      <w:pPr>
        <w:rPr>
          <w:sz w:val="24"/>
          <w:szCs w:val="24"/>
        </w:rPr>
      </w:pPr>
    </w:p>
    <w:p w:rsidR="00DA3075" w:rsidRPr="00446EA4" w:rsidRDefault="002B0E6D" w:rsidP="002B0E6D">
      <w:pPr>
        <w:pBdr>
          <w:bottom w:val="dotted" w:sz="4" w:space="1" w:color="auto"/>
        </w:pBdr>
        <w:ind w:left="-851" w:right="-851"/>
        <w:jc w:val="both"/>
        <w:rPr>
          <w:b/>
          <w:sz w:val="24"/>
          <w:szCs w:val="24"/>
        </w:rPr>
      </w:pPr>
      <w:r>
        <w:rPr>
          <w:b/>
          <w:noProof/>
          <w:sz w:val="24"/>
          <w:szCs w:val="24"/>
          <w:lang w:eastAsia="fr-FR"/>
        </w:rPr>
        <w:drawing>
          <wp:anchor distT="0" distB="0" distL="114300" distR="114300" simplePos="0" relativeHeight="251659264" behindDoc="0" locked="0" layoutInCell="1" allowOverlap="1">
            <wp:simplePos x="361950" y="2705100"/>
            <wp:positionH relativeFrom="column">
              <wp:align>left</wp:align>
            </wp:positionH>
            <wp:positionV relativeFrom="paragraph">
              <wp:align>top</wp:align>
            </wp:positionV>
            <wp:extent cx="2790825" cy="4667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gif"/>
                    <pic:cNvPicPr/>
                  </pic:nvPicPr>
                  <pic:blipFill>
                    <a:blip r:embed="rId8">
                      <a:extLst>
                        <a:ext uri="{28A0092B-C50C-407E-A947-70E740481C1C}">
                          <a14:useLocalDpi xmlns:a14="http://schemas.microsoft.com/office/drawing/2010/main" val="0"/>
                        </a:ext>
                      </a:extLst>
                    </a:blip>
                    <a:stretch>
                      <a:fillRect/>
                    </a:stretch>
                  </pic:blipFill>
                  <pic:spPr>
                    <a:xfrm>
                      <a:off x="0" y="0"/>
                      <a:ext cx="2790825" cy="466725"/>
                    </a:xfrm>
                    <a:prstGeom prst="rect">
                      <a:avLst/>
                    </a:prstGeom>
                  </pic:spPr>
                </pic:pic>
              </a:graphicData>
            </a:graphic>
          </wp:anchor>
        </w:drawing>
      </w:r>
      <w:r w:rsidR="00E07EAF">
        <w:rPr>
          <w:b/>
          <w:sz w:val="24"/>
          <w:szCs w:val="24"/>
        </w:rPr>
        <w:br w:type="textWrapping" w:clear="all"/>
      </w:r>
    </w:p>
    <w:tbl>
      <w:tblPr>
        <w:tblStyle w:val="Grilledutableau"/>
        <w:tblW w:w="0" w:type="auto"/>
        <w:tblLook w:val="04A0" w:firstRow="1" w:lastRow="0" w:firstColumn="1" w:lastColumn="0" w:noHBand="0" w:noVBand="1"/>
      </w:tblPr>
      <w:tblGrid>
        <w:gridCol w:w="2265"/>
        <w:gridCol w:w="2266"/>
        <w:gridCol w:w="2265"/>
        <w:gridCol w:w="2266"/>
      </w:tblGrid>
      <w:tr w:rsidR="00FF304E" w:rsidTr="005F42BD">
        <w:tc>
          <w:tcPr>
            <w:tcW w:w="2265" w:type="dxa"/>
            <w:shd w:val="clear" w:color="auto" w:fill="9CC2E5" w:themeFill="accent1" w:themeFillTint="99"/>
          </w:tcPr>
          <w:p w:rsidR="00FF304E" w:rsidRDefault="00FF304E" w:rsidP="00FF304E">
            <w:pPr>
              <w:spacing w:before="120" w:after="120"/>
              <w:rPr>
                <w:sz w:val="24"/>
                <w:szCs w:val="24"/>
              </w:rPr>
            </w:pPr>
            <w:r w:rsidRPr="00FF304E">
              <w:rPr>
                <w:b/>
                <w:sz w:val="24"/>
                <w:szCs w:val="24"/>
              </w:rPr>
              <w:t>Pôle / Direction :</w:t>
            </w:r>
            <w:r>
              <w:rPr>
                <w:sz w:val="24"/>
                <w:szCs w:val="24"/>
              </w:rPr>
              <w:t xml:space="preserve"> </w:t>
            </w:r>
          </w:p>
        </w:tc>
        <w:tc>
          <w:tcPr>
            <w:tcW w:w="2266" w:type="dxa"/>
            <w:shd w:val="clear" w:color="auto" w:fill="FFFFFF" w:themeFill="background1"/>
          </w:tcPr>
          <w:p w:rsidR="00FF304E" w:rsidRDefault="00F4437D" w:rsidP="000D2093">
            <w:pPr>
              <w:spacing w:before="120" w:after="120"/>
              <w:jc w:val="both"/>
              <w:rPr>
                <w:sz w:val="24"/>
                <w:szCs w:val="24"/>
              </w:rPr>
            </w:pPr>
            <w:r>
              <w:rPr>
                <w:sz w:val="24"/>
                <w:szCs w:val="24"/>
              </w:rPr>
              <w:t>PHARMACIE</w:t>
            </w:r>
          </w:p>
        </w:tc>
        <w:tc>
          <w:tcPr>
            <w:tcW w:w="2265" w:type="dxa"/>
            <w:shd w:val="clear" w:color="auto" w:fill="9CC2E5" w:themeFill="accent1" w:themeFillTint="99"/>
          </w:tcPr>
          <w:p w:rsidR="00FF304E" w:rsidRDefault="00FF304E" w:rsidP="00FF304E">
            <w:pPr>
              <w:spacing w:before="120" w:after="120"/>
              <w:rPr>
                <w:sz w:val="24"/>
                <w:szCs w:val="24"/>
              </w:rPr>
            </w:pPr>
            <w:r w:rsidRPr="00FF304E">
              <w:rPr>
                <w:b/>
                <w:sz w:val="24"/>
                <w:szCs w:val="24"/>
              </w:rPr>
              <w:t>Service / site :</w:t>
            </w:r>
            <w:r>
              <w:rPr>
                <w:sz w:val="24"/>
                <w:szCs w:val="24"/>
              </w:rPr>
              <w:t xml:space="preserve"> </w:t>
            </w:r>
          </w:p>
        </w:tc>
        <w:tc>
          <w:tcPr>
            <w:tcW w:w="2266" w:type="dxa"/>
            <w:shd w:val="clear" w:color="auto" w:fill="FFFFFF" w:themeFill="background1"/>
          </w:tcPr>
          <w:p w:rsidR="00FF304E" w:rsidRDefault="00F4437D" w:rsidP="000D2093">
            <w:pPr>
              <w:spacing w:before="120" w:after="120"/>
              <w:jc w:val="both"/>
              <w:rPr>
                <w:sz w:val="24"/>
                <w:szCs w:val="24"/>
              </w:rPr>
            </w:pPr>
            <w:r>
              <w:rPr>
                <w:sz w:val="24"/>
                <w:szCs w:val="24"/>
              </w:rPr>
              <w:t>HCN</w:t>
            </w:r>
          </w:p>
        </w:tc>
      </w:tr>
      <w:tr w:rsidR="000D2093" w:rsidTr="00FF304E">
        <w:tc>
          <w:tcPr>
            <w:tcW w:w="9062" w:type="dxa"/>
            <w:gridSpan w:val="4"/>
            <w:shd w:val="clear" w:color="auto" w:fill="FFFFFF" w:themeFill="background1"/>
          </w:tcPr>
          <w:p w:rsidR="00FF304E" w:rsidRDefault="00FF304E" w:rsidP="000D2093">
            <w:pPr>
              <w:spacing w:before="120" w:after="120"/>
              <w:jc w:val="both"/>
              <w:rPr>
                <w:b/>
                <w:sz w:val="24"/>
                <w:szCs w:val="24"/>
                <w:u w:val="single"/>
              </w:rPr>
            </w:pPr>
            <w:r>
              <w:rPr>
                <w:b/>
                <w:sz w:val="24"/>
                <w:szCs w:val="24"/>
                <w:u w:val="single"/>
              </w:rPr>
              <w:t>Responsable</w:t>
            </w:r>
            <w:r w:rsidR="0032250E">
              <w:rPr>
                <w:b/>
                <w:sz w:val="24"/>
                <w:szCs w:val="24"/>
                <w:u w:val="single"/>
              </w:rPr>
              <w:t xml:space="preserve"> de service :</w:t>
            </w:r>
          </w:p>
          <w:p w:rsidR="00F4437D" w:rsidRPr="007747CB" w:rsidRDefault="00F4437D" w:rsidP="00F4437D">
            <w:pPr>
              <w:keepNext/>
              <w:jc w:val="both"/>
              <w:outlineLvl w:val="0"/>
              <w:rPr>
                <w:rFonts w:ascii="Bookman Old Style" w:hAnsi="Bookman Old Style" w:cs="Arial"/>
                <w:sz w:val="20"/>
                <w:szCs w:val="20"/>
              </w:rPr>
            </w:pPr>
            <w:r w:rsidRPr="007747CB">
              <w:rPr>
                <w:rFonts w:ascii="Bookman Old Style" w:hAnsi="Bookman Old Style" w:cs="Arial"/>
                <w:sz w:val="20"/>
                <w:szCs w:val="20"/>
                <w:u w:val="single"/>
              </w:rPr>
              <w:t>Chef de Service</w:t>
            </w:r>
            <w:r w:rsidRPr="007747CB">
              <w:rPr>
                <w:rFonts w:ascii="Bookman Old Style" w:hAnsi="Bookman Old Style" w:cs="Arial"/>
                <w:sz w:val="20"/>
                <w:szCs w:val="20"/>
              </w:rPr>
              <w:t xml:space="preserve"> : Pr VARIN Rémi</w:t>
            </w:r>
          </w:p>
          <w:p w:rsidR="00F4437D" w:rsidRPr="007747CB" w:rsidRDefault="00F4437D" w:rsidP="00F4437D">
            <w:pPr>
              <w:pStyle w:val="Titre4"/>
              <w:jc w:val="both"/>
              <w:outlineLvl w:val="3"/>
              <w:rPr>
                <w:rFonts w:ascii="Bookman Old Style" w:hAnsi="Bookman Old Style"/>
                <w:b w:val="0"/>
                <w:bCs w:val="0"/>
              </w:rPr>
            </w:pPr>
            <w:r w:rsidRPr="007747CB">
              <w:rPr>
                <w:rFonts w:ascii="Bookman Old Style" w:hAnsi="Bookman Old Style"/>
                <w:b w:val="0"/>
                <w:bCs w:val="0"/>
              </w:rPr>
              <w:t>Cadre Supérieur de Santé de Pôle</w:t>
            </w:r>
            <w:r w:rsidR="005F3127">
              <w:rPr>
                <w:rFonts w:ascii="Bookman Old Style" w:hAnsi="Bookman Old Style"/>
                <w:b w:val="0"/>
                <w:bCs w:val="0"/>
                <w:u w:val="none"/>
              </w:rPr>
              <w:t>: Mr VIGNOT Jean-Luc</w:t>
            </w:r>
          </w:p>
          <w:p w:rsidR="0032250E" w:rsidRPr="00FF304E" w:rsidRDefault="0032250E" w:rsidP="000D2093">
            <w:pPr>
              <w:spacing w:before="120" w:after="120"/>
              <w:jc w:val="both"/>
              <w:rPr>
                <w:b/>
                <w:sz w:val="24"/>
                <w:szCs w:val="24"/>
                <w:u w:val="single"/>
              </w:rPr>
            </w:pPr>
            <w:r>
              <w:rPr>
                <w:b/>
                <w:sz w:val="24"/>
                <w:szCs w:val="24"/>
                <w:u w:val="single"/>
              </w:rPr>
              <w:t xml:space="preserve">Présentation du CHU : </w:t>
            </w:r>
          </w:p>
          <w:p w:rsidR="00F4437D" w:rsidRDefault="000D2093" w:rsidP="000D2093">
            <w:pPr>
              <w:spacing w:before="120" w:after="120"/>
              <w:jc w:val="both"/>
              <w:rPr>
                <w:sz w:val="24"/>
                <w:szCs w:val="24"/>
              </w:rPr>
            </w:pPr>
            <w:r w:rsidRPr="000D2093">
              <w:rPr>
                <w:sz w:val="24"/>
                <w:szCs w:val="24"/>
              </w:rPr>
              <w:t>Le CHU de Rouen Normandie assure à la fois une mission de soins de proximité au bénéfice de 600 000 habitants, dans une logique de réseau de soins et une fonction de recours sur un bassin de population de l’ordre de 2 millions d’habitants en tant que 1</w:t>
            </w:r>
            <w:r w:rsidRPr="000D2093">
              <w:rPr>
                <w:sz w:val="24"/>
                <w:szCs w:val="24"/>
                <w:vertAlign w:val="superscript"/>
              </w:rPr>
              <w:t>er</w:t>
            </w:r>
            <w:r w:rsidRPr="000D2093">
              <w:rPr>
                <w:sz w:val="24"/>
                <w:szCs w:val="24"/>
              </w:rPr>
              <w:t xml:space="preserve"> établissement de santé en Normandie. Composé de 7 sites dont 2 industriels, (blanchisserie et production de repas), il offre 2 450 lits et places. Il est organisé en 14 pôles dont 10 pôles d’activités cliniques, 3 pôles d’activités médicotechniques et un pôle de santé publique. </w:t>
            </w:r>
          </w:p>
          <w:p w:rsidR="00F4437D" w:rsidRPr="00F4437D" w:rsidRDefault="00F4437D" w:rsidP="00F4437D">
            <w:pPr>
              <w:keepNext/>
              <w:jc w:val="both"/>
              <w:outlineLvl w:val="0"/>
              <w:rPr>
                <w:rFonts w:cstheme="minorHAnsi"/>
                <w:sz w:val="24"/>
                <w:szCs w:val="24"/>
              </w:rPr>
            </w:pPr>
            <w:r w:rsidRPr="00F4437D">
              <w:rPr>
                <w:rFonts w:cstheme="minorHAnsi"/>
                <w:sz w:val="24"/>
                <w:szCs w:val="24"/>
                <w:u w:val="single"/>
              </w:rPr>
              <w:t>Activités et Caractéristiques du Service</w:t>
            </w:r>
            <w:r w:rsidRPr="00F4437D">
              <w:rPr>
                <w:rFonts w:cstheme="minorHAnsi"/>
                <w:sz w:val="24"/>
                <w:szCs w:val="24"/>
              </w:rPr>
              <w:t xml:space="preserve"> : </w:t>
            </w:r>
          </w:p>
          <w:p w:rsidR="00E07EAF" w:rsidRPr="007F3D3C" w:rsidRDefault="00F4437D" w:rsidP="00E07EAF">
            <w:pPr>
              <w:pStyle w:val="Corpsdetexte"/>
            </w:pPr>
            <w:r w:rsidRPr="00F4437D">
              <w:rPr>
                <w:rFonts w:cstheme="minorHAnsi"/>
                <w:sz w:val="24"/>
                <w:szCs w:val="24"/>
              </w:rPr>
              <w:t>.</w:t>
            </w:r>
            <w:r w:rsidR="00E07EAF" w:rsidRPr="007F3D3C">
              <w:t xml:space="preserve"> Pôle Pharmacie – Structure interne Support pharmaceutique et administratif - Secteur Informatisation – Référentiels - Information</w:t>
            </w:r>
          </w:p>
          <w:p w:rsidR="00E07EAF" w:rsidRPr="007F3D3C" w:rsidRDefault="00E07EAF" w:rsidP="00E07EAF">
            <w:pPr>
              <w:pStyle w:val="Corpsdetexte"/>
            </w:pPr>
          </w:p>
          <w:p w:rsidR="00F4437D" w:rsidRPr="00F4437D" w:rsidRDefault="00F4437D" w:rsidP="00F4437D">
            <w:pPr>
              <w:autoSpaceDE w:val="0"/>
              <w:autoSpaceDN w:val="0"/>
              <w:adjustRightInd w:val="0"/>
              <w:jc w:val="both"/>
              <w:rPr>
                <w:rFonts w:cstheme="minorHAnsi"/>
                <w:sz w:val="24"/>
                <w:szCs w:val="24"/>
              </w:rPr>
            </w:pPr>
          </w:p>
        </w:tc>
      </w:tr>
    </w:tbl>
    <w:p w:rsidR="002E2345" w:rsidRPr="002E2345" w:rsidRDefault="002E2345" w:rsidP="00BD33C4">
      <w:pPr>
        <w:spacing w:after="0" w:line="240" w:lineRule="auto"/>
        <w:jc w:val="both"/>
        <w:rPr>
          <w:rFonts w:cs="Arial"/>
        </w:rPr>
      </w:pPr>
      <w:r w:rsidRPr="002E2345">
        <w:rPr>
          <w:b/>
          <w:sz w:val="24"/>
          <w:szCs w:val="24"/>
          <w:u w:val="single"/>
        </w:rPr>
        <w:t>Missions générales</w:t>
      </w:r>
      <w:r w:rsidRPr="002E2345">
        <w:rPr>
          <w:i/>
          <w:sz w:val="24"/>
          <w:szCs w:val="24"/>
          <w:u w:val="single"/>
        </w:rPr>
        <w:t xml:space="preserve"> : </w:t>
      </w:r>
    </w:p>
    <w:p w:rsidR="002E2345" w:rsidRPr="002E2345" w:rsidRDefault="002E2345" w:rsidP="002E2345">
      <w:pPr>
        <w:jc w:val="both"/>
        <w:rPr>
          <w:rFonts w:cs="Arial"/>
          <w:sz w:val="20"/>
          <w:szCs w:val="20"/>
        </w:rPr>
      </w:pPr>
      <w:r w:rsidRPr="002E2345">
        <w:rPr>
          <w:rFonts w:cs="Arial"/>
          <w:sz w:val="20"/>
          <w:szCs w:val="20"/>
        </w:rPr>
        <w:t xml:space="preserve">Missions générales : </w:t>
      </w:r>
    </w:p>
    <w:p w:rsidR="002E2345" w:rsidRPr="002E2345" w:rsidRDefault="002E2345" w:rsidP="002E2345">
      <w:pPr>
        <w:jc w:val="both"/>
        <w:rPr>
          <w:rFonts w:cs="Arial"/>
          <w:sz w:val="20"/>
          <w:szCs w:val="20"/>
        </w:rPr>
      </w:pPr>
      <w:r w:rsidRPr="002E2345">
        <w:rPr>
          <w:rFonts w:cs="Arial"/>
          <w:sz w:val="20"/>
          <w:szCs w:val="20"/>
        </w:rPr>
        <w:t>Gestion de référentiels de produits pharmaceutiques,</w:t>
      </w:r>
    </w:p>
    <w:p w:rsidR="002E2345" w:rsidRPr="002E2345" w:rsidRDefault="002E2345" w:rsidP="002E2345">
      <w:pPr>
        <w:jc w:val="both"/>
        <w:rPr>
          <w:rFonts w:cs="Arial"/>
          <w:sz w:val="20"/>
          <w:szCs w:val="20"/>
        </w:rPr>
      </w:pPr>
      <w:r w:rsidRPr="002E2345">
        <w:rPr>
          <w:rFonts w:cs="Arial"/>
          <w:sz w:val="20"/>
          <w:szCs w:val="20"/>
        </w:rPr>
        <w:t>Référent métiers Pharmacie LAD : Copilote/Cpage sur le versant interface GEF / Oproom / Promedeo</w:t>
      </w:r>
    </w:p>
    <w:p w:rsidR="002E2345" w:rsidRPr="002E2345" w:rsidRDefault="002E2345" w:rsidP="002E2345">
      <w:pPr>
        <w:jc w:val="both"/>
        <w:rPr>
          <w:rFonts w:cs="Arial"/>
          <w:sz w:val="20"/>
          <w:szCs w:val="20"/>
        </w:rPr>
      </w:pPr>
      <w:r w:rsidRPr="002E2345">
        <w:rPr>
          <w:rFonts w:cs="Arial"/>
          <w:sz w:val="20"/>
          <w:szCs w:val="20"/>
        </w:rPr>
        <w:t>R</w:t>
      </w:r>
      <w:r>
        <w:rPr>
          <w:rFonts w:cs="Arial"/>
          <w:sz w:val="20"/>
          <w:szCs w:val="20"/>
        </w:rPr>
        <w:t xml:space="preserve">éférent métiers PMSI Pharmacie </w:t>
      </w:r>
    </w:p>
    <w:p w:rsidR="002E2345" w:rsidRPr="002E2345" w:rsidRDefault="002E2345" w:rsidP="002E2345">
      <w:pPr>
        <w:spacing w:line="240" w:lineRule="auto"/>
        <w:jc w:val="both"/>
        <w:rPr>
          <w:rFonts w:cs="Arial"/>
          <w:sz w:val="20"/>
          <w:szCs w:val="20"/>
        </w:rPr>
      </w:pPr>
      <w:r w:rsidRPr="002E2345">
        <w:rPr>
          <w:rFonts w:cs="Arial"/>
          <w:sz w:val="20"/>
          <w:szCs w:val="20"/>
        </w:rPr>
        <w:t>Il participe à la rédaction du bilan d’activité / Fiche de vie de processus</w:t>
      </w:r>
    </w:p>
    <w:p w:rsidR="002E2345" w:rsidRPr="002E2345" w:rsidRDefault="002E2345" w:rsidP="002E2345">
      <w:pPr>
        <w:spacing w:line="240" w:lineRule="auto"/>
        <w:jc w:val="both"/>
        <w:rPr>
          <w:rFonts w:cs="Arial"/>
          <w:sz w:val="20"/>
          <w:szCs w:val="20"/>
        </w:rPr>
      </w:pPr>
      <w:r w:rsidRPr="002E2345">
        <w:rPr>
          <w:rFonts w:cs="Arial"/>
          <w:sz w:val="20"/>
          <w:szCs w:val="20"/>
        </w:rPr>
        <w:t>Il participe aux projets informatiques en lien avec ses compétences et les objectifs du secteur.</w:t>
      </w:r>
    </w:p>
    <w:p w:rsidR="002E2345" w:rsidRPr="002E2345" w:rsidRDefault="002E2345" w:rsidP="002E2345">
      <w:pPr>
        <w:spacing w:line="240" w:lineRule="auto"/>
        <w:jc w:val="both"/>
        <w:rPr>
          <w:rFonts w:cs="Arial"/>
          <w:sz w:val="20"/>
          <w:szCs w:val="20"/>
        </w:rPr>
      </w:pPr>
      <w:r w:rsidRPr="002E2345">
        <w:rPr>
          <w:rFonts w:cs="Arial"/>
          <w:sz w:val="20"/>
          <w:szCs w:val="20"/>
        </w:rPr>
        <w:t>Il travaille en collaboration avec les autres secteurs de la pharmacie.</w:t>
      </w:r>
    </w:p>
    <w:p w:rsidR="002E2345" w:rsidRPr="002E2345" w:rsidRDefault="002E2345" w:rsidP="002E2345">
      <w:pPr>
        <w:spacing w:line="240" w:lineRule="auto"/>
        <w:jc w:val="both"/>
        <w:rPr>
          <w:rFonts w:cs="Arial"/>
          <w:sz w:val="20"/>
          <w:szCs w:val="20"/>
        </w:rPr>
      </w:pPr>
      <w:r w:rsidRPr="002E2345">
        <w:rPr>
          <w:rFonts w:cs="Arial"/>
          <w:sz w:val="20"/>
          <w:szCs w:val="20"/>
        </w:rPr>
        <w:t>Il partage des procédures et des modes opératoires communs.</w:t>
      </w:r>
    </w:p>
    <w:p w:rsidR="002E2345" w:rsidRPr="002E2345" w:rsidRDefault="002E2345" w:rsidP="002E2345">
      <w:pPr>
        <w:jc w:val="both"/>
        <w:rPr>
          <w:rFonts w:cs="Arial"/>
          <w:sz w:val="20"/>
          <w:szCs w:val="20"/>
        </w:rPr>
      </w:pPr>
      <w:r w:rsidRPr="002E2345">
        <w:rPr>
          <w:rFonts w:cs="Arial"/>
          <w:sz w:val="20"/>
          <w:szCs w:val="20"/>
        </w:rPr>
        <w:t>Il est amené à travailler sur un ou plusieurs de ces domaines, en étroite collaboration avec les autres membres de l’équipe du secteur et des agents de la DSI.</w:t>
      </w:r>
    </w:p>
    <w:p w:rsidR="002E2345" w:rsidRPr="002E2345" w:rsidRDefault="002E2345" w:rsidP="002E2345">
      <w:pPr>
        <w:jc w:val="both"/>
        <w:rPr>
          <w:rFonts w:cs="Arial"/>
          <w:sz w:val="20"/>
          <w:szCs w:val="20"/>
        </w:rPr>
      </w:pPr>
      <w:r w:rsidRPr="002E2345">
        <w:rPr>
          <w:rFonts w:cs="Arial"/>
          <w:sz w:val="20"/>
          <w:szCs w:val="20"/>
        </w:rPr>
        <w:t>Il sera habilité à ses missions selon une matrice d’habilitation</w:t>
      </w:r>
    </w:p>
    <w:tbl>
      <w:tblPr>
        <w:tblStyle w:val="Grilledutableau"/>
        <w:tblW w:w="0" w:type="auto"/>
        <w:tblLook w:val="04A0" w:firstRow="1" w:lastRow="0" w:firstColumn="1" w:lastColumn="0" w:noHBand="0" w:noVBand="1"/>
      </w:tblPr>
      <w:tblGrid>
        <w:gridCol w:w="9062"/>
      </w:tblGrid>
      <w:tr w:rsidR="000D2093" w:rsidTr="00BB641C">
        <w:trPr>
          <w:trHeight w:val="8910"/>
        </w:trPr>
        <w:tc>
          <w:tcPr>
            <w:tcW w:w="9062" w:type="dxa"/>
            <w:shd w:val="clear" w:color="auto" w:fill="FFFFFF" w:themeFill="background1"/>
          </w:tcPr>
          <w:p w:rsidR="00E07EAF" w:rsidRDefault="00E07EAF" w:rsidP="00E07EAF">
            <w:pPr>
              <w:jc w:val="both"/>
              <w:rPr>
                <w:rFonts w:cs="Arial"/>
                <w:b/>
              </w:rPr>
            </w:pPr>
          </w:p>
          <w:p w:rsidR="00E07EAF" w:rsidRPr="00E07EAF" w:rsidRDefault="00E07EAF" w:rsidP="00E07EAF">
            <w:pPr>
              <w:jc w:val="both"/>
              <w:rPr>
                <w:rFonts w:cs="Arial"/>
                <w:b/>
                <w:u w:val="single"/>
              </w:rPr>
            </w:pPr>
            <w:r w:rsidRPr="00E07EAF">
              <w:rPr>
                <w:rFonts w:cs="Arial"/>
                <w:b/>
                <w:u w:val="single"/>
              </w:rPr>
              <w:t>Missions Principales</w:t>
            </w:r>
          </w:p>
          <w:p w:rsidR="00E07EAF" w:rsidRPr="007F3D3C" w:rsidRDefault="00E07EAF" w:rsidP="00E07EAF">
            <w:pPr>
              <w:pStyle w:val="Paragraphedeliste"/>
              <w:numPr>
                <w:ilvl w:val="0"/>
                <w:numId w:val="4"/>
              </w:numPr>
              <w:jc w:val="both"/>
              <w:rPr>
                <w:rFonts w:cs="Arial"/>
                <w:b/>
              </w:rPr>
            </w:pPr>
            <w:r w:rsidRPr="007F3D3C">
              <w:rPr>
                <w:rFonts w:cs="Arial"/>
                <w:b/>
              </w:rPr>
              <w:t>Gestionnaire de référentiels produits pharmaceutiques :</w:t>
            </w:r>
          </w:p>
          <w:p w:rsidR="00E07EAF" w:rsidRPr="007F3D3C" w:rsidRDefault="00E07EAF" w:rsidP="00E07EAF">
            <w:pPr>
              <w:jc w:val="both"/>
              <w:rPr>
                <w:rFonts w:cs="Arial"/>
              </w:rPr>
            </w:pPr>
          </w:p>
          <w:p w:rsidR="00E07EAF" w:rsidRPr="002E2345" w:rsidRDefault="00E07EAF" w:rsidP="00E07EAF">
            <w:pPr>
              <w:jc w:val="both"/>
              <w:rPr>
                <w:rFonts w:cs="Arial"/>
                <w:sz w:val="20"/>
                <w:szCs w:val="20"/>
              </w:rPr>
            </w:pPr>
            <w:r w:rsidRPr="002E2345">
              <w:rPr>
                <w:rFonts w:cs="Arial"/>
                <w:sz w:val="20"/>
                <w:szCs w:val="20"/>
              </w:rPr>
              <w:t xml:space="preserve">Il est en charge de : </w:t>
            </w:r>
          </w:p>
          <w:p w:rsidR="00E07EAF" w:rsidRPr="002E2345" w:rsidRDefault="00E07EAF" w:rsidP="00E07EAF">
            <w:pPr>
              <w:jc w:val="both"/>
              <w:rPr>
                <w:rFonts w:cs="Arial"/>
                <w:sz w:val="20"/>
                <w:szCs w:val="20"/>
              </w:rPr>
            </w:pPr>
            <w:r w:rsidRPr="002E2345">
              <w:rPr>
                <w:rFonts w:cs="Arial"/>
                <w:sz w:val="20"/>
                <w:szCs w:val="20"/>
              </w:rPr>
              <w:t>- Créer et mettre à jour la base produits DMS dans le logiciel de gestion économique et financière (GEF) (Cpage-i GEF) et les logiciels d’aide à la dispensation (LAD) (Copilote) en respectant les modes opératoires et les procédures en vigueur,</w:t>
            </w:r>
          </w:p>
          <w:p w:rsidR="00E07EAF" w:rsidRPr="002E2345" w:rsidRDefault="00E07EAF" w:rsidP="00E07EAF">
            <w:pPr>
              <w:jc w:val="both"/>
              <w:rPr>
                <w:rFonts w:cs="Arial"/>
                <w:sz w:val="20"/>
                <w:szCs w:val="20"/>
              </w:rPr>
            </w:pPr>
            <w:r w:rsidRPr="002E2345">
              <w:rPr>
                <w:rFonts w:cs="Arial"/>
                <w:sz w:val="20"/>
                <w:szCs w:val="20"/>
              </w:rPr>
              <w:t>- Contrôler le référentiel sur des points de contrôle définis dans les fiches produits à l’aide de requêtes de supervision.</w:t>
            </w:r>
          </w:p>
          <w:p w:rsidR="00E07EAF" w:rsidRPr="002E2345" w:rsidRDefault="00E07EAF" w:rsidP="00E07EAF">
            <w:pPr>
              <w:jc w:val="both"/>
              <w:rPr>
                <w:rFonts w:cs="Arial"/>
                <w:sz w:val="20"/>
                <w:szCs w:val="20"/>
              </w:rPr>
            </w:pPr>
            <w:r w:rsidRPr="002E2345">
              <w:rPr>
                <w:rFonts w:cs="Arial"/>
                <w:sz w:val="20"/>
                <w:szCs w:val="20"/>
              </w:rPr>
              <w:t>- Générer mensuellement le livret des DMS</w:t>
            </w:r>
          </w:p>
          <w:p w:rsidR="00E07EAF" w:rsidRPr="002E2345" w:rsidRDefault="00E07EAF" w:rsidP="00E07EAF">
            <w:pPr>
              <w:jc w:val="both"/>
              <w:rPr>
                <w:rFonts w:cs="Arial"/>
                <w:sz w:val="20"/>
                <w:szCs w:val="20"/>
              </w:rPr>
            </w:pPr>
            <w:r w:rsidRPr="002E2345">
              <w:rPr>
                <w:rFonts w:cs="Arial"/>
                <w:sz w:val="20"/>
                <w:szCs w:val="20"/>
              </w:rPr>
              <w:t>- Informer le personnel utilisant le référentiel DMS dans les applications du système d’information sur tout le cycle de vie du produit de la commande à la liquidation sur la base d’une liste de diffusion en fonction des besoins.</w:t>
            </w:r>
          </w:p>
          <w:p w:rsidR="00E07EAF" w:rsidRPr="007F3D3C" w:rsidRDefault="00E07EAF" w:rsidP="00E07EAF">
            <w:pPr>
              <w:pStyle w:val="Paragraphedeliste"/>
              <w:jc w:val="both"/>
              <w:rPr>
                <w:rFonts w:cs="Arial"/>
                <w:b/>
              </w:rPr>
            </w:pPr>
          </w:p>
          <w:p w:rsidR="00E07EAF" w:rsidRPr="007F3D3C" w:rsidRDefault="00E07EAF" w:rsidP="00E07EAF">
            <w:pPr>
              <w:pStyle w:val="Paragraphedeliste"/>
              <w:numPr>
                <w:ilvl w:val="0"/>
                <w:numId w:val="4"/>
              </w:numPr>
              <w:jc w:val="both"/>
              <w:rPr>
                <w:rFonts w:cs="Arial"/>
                <w:b/>
              </w:rPr>
            </w:pPr>
            <w:r w:rsidRPr="007F3D3C">
              <w:rPr>
                <w:rFonts w:cs="Arial"/>
                <w:b/>
              </w:rPr>
              <w:t>Référent métiers Pharmacie LAD : Copilote/Cpage sur le versant interface GEF / Oproom / Promedeo</w:t>
            </w:r>
          </w:p>
          <w:p w:rsidR="00E07EAF" w:rsidRPr="007F3D3C" w:rsidRDefault="00E07EAF" w:rsidP="00E07EAF">
            <w:pPr>
              <w:jc w:val="both"/>
              <w:rPr>
                <w:rFonts w:cs="Arial"/>
              </w:rPr>
            </w:pPr>
          </w:p>
          <w:p w:rsidR="00E07EAF" w:rsidRPr="002E2345" w:rsidRDefault="00E07EAF" w:rsidP="00E07EAF">
            <w:pPr>
              <w:jc w:val="both"/>
              <w:rPr>
                <w:rFonts w:cs="Arial"/>
                <w:sz w:val="20"/>
                <w:szCs w:val="20"/>
              </w:rPr>
            </w:pPr>
            <w:r w:rsidRPr="002E2345">
              <w:rPr>
                <w:rFonts w:cs="Arial"/>
                <w:sz w:val="20"/>
                <w:szCs w:val="20"/>
              </w:rPr>
              <w:t>Il est en charge de :</w:t>
            </w:r>
          </w:p>
          <w:p w:rsidR="00E07EAF" w:rsidRPr="002E2345" w:rsidRDefault="00E07EAF" w:rsidP="00E07EAF">
            <w:pPr>
              <w:jc w:val="both"/>
              <w:rPr>
                <w:rFonts w:cs="Arial"/>
                <w:bCs/>
                <w:sz w:val="20"/>
                <w:szCs w:val="20"/>
              </w:rPr>
            </w:pPr>
            <w:r w:rsidRPr="002E2345">
              <w:rPr>
                <w:rFonts w:cs="Arial"/>
                <w:sz w:val="20"/>
                <w:szCs w:val="20"/>
              </w:rPr>
              <w:t xml:space="preserve">- </w:t>
            </w:r>
            <w:r w:rsidRPr="002E2345">
              <w:rPr>
                <w:rFonts w:cs="Arial"/>
                <w:bCs/>
                <w:sz w:val="20"/>
                <w:szCs w:val="20"/>
              </w:rPr>
              <w:t>Assurer l’interface entre leur environnement métier et la DSI.</w:t>
            </w:r>
          </w:p>
          <w:p w:rsidR="00E07EAF" w:rsidRPr="002E2345" w:rsidRDefault="00E07EAF" w:rsidP="00E07EAF">
            <w:pPr>
              <w:jc w:val="both"/>
              <w:rPr>
                <w:rFonts w:cs="Arial"/>
                <w:sz w:val="20"/>
                <w:szCs w:val="20"/>
              </w:rPr>
            </w:pPr>
            <w:r w:rsidRPr="002E2345">
              <w:rPr>
                <w:rFonts w:cs="Arial"/>
                <w:bCs/>
                <w:sz w:val="20"/>
                <w:szCs w:val="20"/>
              </w:rPr>
              <w:t>- Centraliser les demandes des utilisateurs sur les interfaces des applications de son périmètre : données Marchés / Fournisseurs / Prix</w:t>
            </w:r>
          </w:p>
          <w:p w:rsidR="00E07EAF" w:rsidRPr="002E2345" w:rsidRDefault="00E07EAF" w:rsidP="00E07EAF">
            <w:pPr>
              <w:jc w:val="both"/>
              <w:rPr>
                <w:rFonts w:cs="Arial"/>
                <w:bCs/>
                <w:sz w:val="20"/>
                <w:szCs w:val="20"/>
              </w:rPr>
            </w:pPr>
            <w:r w:rsidRPr="002E2345">
              <w:rPr>
                <w:rFonts w:cs="Arial"/>
                <w:bCs/>
                <w:sz w:val="20"/>
                <w:szCs w:val="20"/>
              </w:rPr>
              <w:t>- Assurer un support fonctionnel de base aux utilisateurs pour les interfaces Oproom et Promedeo</w:t>
            </w:r>
          </w:p>
          <w:p w:rsidR="00E07EAF" w:rsidRPr="007F3D3C" w:rsidRDefault="00E07EAF" w:rsidP="00E07EAF">
            <w:pPr>
              <w:jc w:val="both"/>
              <w:rPr>
                <w:rFonts w:cs="Arial"/>
              </w:rPr>
            </w:pPr>
          </w:p>
          <w:p w:rsidR="00E07EAF" w:rsidRPr="007F3D3C" w:rsidRDefault="00E07EAF" w:rsidP="00E07EAF">
            <w:pPr>
              <w:pStyle w:val="Paragraphedeliste"/>
              <w:numPr>
                <w:ilvl w:val="0"/>
                <w:numId w:val="4"/>
              </w:numPr>
              <w:jc w:val="both"/>
              <w:rPr>
                <w:rFonts w:cs="Arial"/>
                <w:b/>
              </w:rPr>
            </w:pPr>
            <w:r w:rsidRPr="007F3D3C">
              <w:rPr>
                <w:rFonts w:cs="Arial"/>
                <w:b/>
              </w:rPr>
              <w:t>Référent métiers PMSI Pharmacie :</w:t>
            </w:r>
          </w:p>
          <w:p w:rsidR="00E07EAF" w:rsidRPr="002E2345" w:rsidRDefault="00E07EAF" w:rsidP="00E07EAF">
            <w:pPr>
              <w:jc w:val="both"/>
              <w:rPr>
                <w:rFonts w:cs="Arial"/>
                <w:sz w:val="20"/>
                <w:szCs w:val="20"/>
              </w:rPr>
            </w:pPr>
          </w:p>
          <w:p w:rsidR="00E07EAF" w:rsidRPr="002E2345" w:rsidRDefault="00E07EAF" w:rsidP="00E07EAF">
            <w:pPr>
              <w:jc w:val="both"/>
              <w:rPr>
                <w:rFonts w:cs="Arial"/>
                <w:sz w:val="20"/>
                <w:szCs w:val="20"/>
              </w:rPr>
            </w:pPr>
            <w:r w:rsidRPr="002E2345">
              <w:rPr>
                <w:rFonts w:cs="Arial"/>
                <w:sz w:val="20"/>
                <w:szCs w:val="20"/>
              </w:rPr>
              <w:t>Il est en charge de :</w:t>
            </w:r>
          </w:p>
          <w:p w:rsidR="00E07EAF" w:rsidRPr="002E2345" w:rsidRDefault="00E07EAF" w:rsidP="00E07EAF">
            <w:pPr>
              <w:jc w:val="both"/>
              <w:rPr>
                <w:rFonts w:cs="Arial"/>
                <w:sz w:val="20"/>
                <w:szCs w:val="20"/>
              </w:rPr>
            </w:pPr>
            <w:r w:rsidRPr="002E2345">
              <w:rPr>
                <w:rFonts w:cs="Arial"/>
                <w:sz w:val="20"/>
                <w:szCs w:val="20"/>
              </w:rPr>
              <w:t>- Participer à l’élaboration du FICHCOMP en lien avec la cadre gestionnaire de pôle et les pharmaciens référents</w:t>
            </w:r>
          </w:p>
          <w:p w:rsidR="00E07EAF" w:rsidRPr="002E2345" w:rsidRDefault="00E07EAF" w:rsidP="00E07EAF">
            <w:pPr>
              <w:jc w:val="both"/>
              <w:rPr>
                <w:rFonts w:cs="Arial"/>
                <w:sz w:val="20"/>
                <w:szCs w:val="20"/>
              </w:rPr>
            </w:pPr>
            <w:r w:rsidRPr="002E2345">
              <w:rPr>
                <w:rFonts w:cs="Arial"/>
                <w:sz w:val="20"/>
                <w:szCs w:val="20"/>
              </w:rPr>
              <w:t xml:space="preserve">- Analyser et traiter les rejets en lien avec le cadre gestionnaire de pôle, </w:t>
            </w:r>
          </w:p>
          <w:p w:rsidR="00E07EAF" w:rsidRPr="002E2345" w:rsidRDefault="00E07EAF" w:rsidP="00E07EAF">
            <w:pPr>
              <w:jc w:val="both"/>
              <w:rPr>
                <w:rFonts w:cs="Arial"/>
                <w:sz w:val="20"/>
                <w:szCs w:val="20"/>
              </w:rPr>
            </w:pPr>
            <w:r w:rsidRPr="002E2345">
              <w:rPr>
                <w:rFonts w:cs="Arial"/>
                <w:sz w:val="20"/>
                <w:szCs w:val="20"/>
              </w:rPr>
              <w:t>- Mettre en place des actions correctives suite aux rejets constatés</w:t>
            </w:r>
          </w:p>
          <w:p w:rsidR="00E07EAF" w:rsidRPr="002E2345" w:rsidRDefault="00E07EAF" w:rsidP="00E07EAF">
            <w:pPr>
              <w:jc w:val="both"/>
              <w:rPr>
                <w:rFonts w:cs="Arial"/>
                <w:sz w:val="20"/>
                <w:szCs w:val="20"/>
              </w:rPr>
            </w:pPr>
            <w:r w:rsidRPr="002E2345">
              <w:rPr>
                <w:rFonts w:cs="Arial"/>
                <w:sz w:val="20"/>
                <w:szCs w:val="20"/>
              </w:rPr>
              <w:t>- Consolider l’automatisation du FICHCOMP</w:t>
            </w:r>
          </w:p>
          <w:p w:rsidR="000D2093" w:rsidRPr="00BB641C" w:rsidRDefault="00E07EAF" w:rsidP="00BB641C">
            <w:pPr>
              <w:jc w:val="both"/>
              <w:rPr>
                <w:rFonts w:cs="Arial"/>
                <w:sz w:val="20"/>
                <w:szCs w:val="20"/>
              </w:rPr>
            </w:pPr>
            <w:r w:rsidRPr="002E2345">
              <w:rPr>
                <w:rFonts w:cs="Arial"/>
                <w:sz w:val="20"/>
                <w:szCs w:val="20"/>
              </w:rPr>
              <w:t>- Participer et suivre la mise en place d’indicateurs d’activité</w:t>
            </w:r>
          </w:p>
          <w:p w:rsidR="000D2093" w:rsidRPr="000D2093" w:rsidRDefault="000D2093" w:rsidP="00E07EAF">
            <w:pPr>
              <w:jc w:val="both"/>
              <w:rPr>
                <w:sz w:val="24"/>
                <w:szCs w:val="24"/>
              </w:rPr>
            </w:pPr>
          </w:p>
        </w:tc>
      </w:tr>
    </w:tbl>
    <w:p w:rsidR="000D2093" w:rsidRPr="000D2093" w:rsidRDefault="00BB641C" w:rsidP="000D2093">
      <w:pPr>
        <w:jc w:val="both"/>
        <w:rPr>
          <w:sz w:val="24"/>
          <w:szCs w:val="24"/>
        </w:rPr>
      </w:pPr>
      <w:r w:rsidRPr="00CA2472">
        <w:rPr>
          <w:b/>
          <w:noProof/>
          <w:sz w:val="24"/>
          <w:szCs w:val="24"/>
          <w:lang w:eastAsia="fr-FR"/>
        </w:rPr>
        <w:drawing>
          <wp:inline distT="0" distB="0" distL="0" distR="0" wp14:anchorId="3A0C11DC" wp14:editId="7C160161">
            <wp:extent cx="2803525" cy="46355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3525" cy="4635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bl>
      <w:tblPr>
        <w:tblStyle w:val="Grilledutableau"/>
        <w:tblpPr w:leftFromText="141" w:rightFromText="141" w:vertAnchor="text" w:horzAnchor="margin" w:tblpY="26"/>
        <w:tblW w:w="0" w:type="auto"/>
        <w:tblLook w:val="04A0" w:firstRow="1" w:lastRow="0" w:firstColumn="1" w:lastColumn="0" w:noHBand="0" w:noVBand="1"/>
      </w:tblPr>
      <w:tblGrid>
        <w:gridCol w:w="9062"/>
      </w:tblGrid>
      <w:tr w:rsidR="00BB641C" w:rsidTr="00BB641C">
        <w:trPr>
          <w:trHeight w:val="836"/>
        </w:trPr>
        <w:tc>
          <w:tcPr>
            <w:tcW w:w="9062" w:type="dxa"/>
            <w:shd w:val="clear" w:color="auto" w:fill="FFFFFF" w:themeFill="background1"/>
          </w:tcPr>
          <w:p w:rsidR="00BB641C" w:rsidRPr="007F3D3C" w:rsidRDefault="00BB641C" w:rsidP="00BB641C">
            <w:r>
              <w:t xml:space="preserve">Durée : </w:t>
            </w:r>
            <w:r w:rsidRPr="007F3D3C">
              <w:t>7h30 quotidiennes et 30 minutes de repas.</w:t>
            </w:r>
          </w:p>
          <w:p w:rsidR="00BB641C" w:rsidRPr="007F3D3C" w:rsidRDefault="00BB641C" w:rsidP="00BB641C">
            <w:r w:rsidRPr="007F3D3C">
              <w:t xml:space="preserve">Horaires J : 8h-16h et 10h30-18h30 en lien avec la charte de fonctionnement </w:t>
            </w:r>
          </w:p>
          <w:p w:rsidR="00BB641C" w:rsidRPr="007F3D3C" w:rsidRDefault="00BB641C" w:rsidP="00BB641C">
            <w:r w:rsidRPr="007F3D3C">
              <w:t>Droits à 25 CA + 2 CA « hors saison » + 1 CA « fractionné » et 15 RTT</w:t>
            </w:r>
          </w:p>
          <w:p w:rsidR="00BB641C" w:rsidRDefault="00BB641C" w:rsidP="00BB641C">
            <w:pPr>
              <w:numPr>
                <w:ilvl w:val="0"/>
                <w:numId w:val="3"/>
              </w:numPr>
              <w:jc w:val="both"/>
              <w:rPr>
                <w:sz w:val="24"/>
                <w:szCs w:val="24"/>
              </w:rPr>
            </w:pPr>
          </w:p>
        </w:tc>
      </w:tr>
    </w:tbl>
    <w:p w:rsidR="007B7FB4" w:rsidRDefault="00BB641C" w:rsidP="00CA2472">
      <w:pPr>
        <w:jc w:val="both"/>
        <w:rPr>
          <w:sz w:val="24"/>
          <w:szCs w:val="24"/>
        </w:rPr>
      </w:pPr>
      <w:r w:rsidRPr="00CA2472">
        <w:rPr>
          <w:noProof/>
          <w:sz w:val="24"/>
          <w:szCs w:val="24"/>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774700</wp:posOffset>
            </wp:positionV>
            <wp:extent cx="2800350" cy="460375"/>
            <wp:effectExtent l="0" t="0" r="0" b="0"/>
            <wp:wrapSquare wrapText="bothSides"/>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460375"/>
                    </a:xfrm>
                    <a:prstGeom prst="rect">
                      <a:avLst/>
                    </a:prstGeom>
                    <a:noFill/>
                    <a:ln>
                      <a:noFill/>
                    </a:ln>
                    <a:extLst/>
                  </pic:spPr>
                </pic:pic>
              </a:graphicData>
            </a:graphic>
          </wp:anchor>
        </w:drawing>
      </w:r>
    </w:p>
    <w:p w:rsidR="00CA2472" w:rsidRPr="00CA2472" w:rsidRDefault="00CA2472" w:rsidP="00BB641C">
      <w:pPr>
        <w:pBdr>
          <w:bottom w:val="dotted" w:sz="4" w:space="0" w:color="auto"/>
        </w:pBdr>
        <w:ind w:left="-851" w:right="-851"/>
        <w:jc w:val="both"/>
        <w:rPr>
          <w:sz w:val="24"/>
          <w:szCs w:val="24"/>
        </w:rPr>
      </w:pPr>
    </w:p>
    <w:tbl>
      <w:tblPr>
        <w:tblStyle w:val="Grilledutableau"/>
        <w:tblpPr w:leftFromText="141" w:rightFromText="141" w:vertAnchor="text" w:horzAnchor="margin" w:tblpY="169"/>
        <w:tblW w:w="9212" w:type="dxa"/>
        <w:tblLook w:val="04A0" w:firstRow="1" w:lastRow="0" w:firstColumn="1" w:lastColumn="0" w:noHBand="0" w:noVBand="1"/>
      </w:tblPr>
      <w:tblGrid>
        <w:gridCol w:w="9212"/>
      </w:tblGrid>
      <w:tr w:rsidR="00BB641C" w:rsidTr="00BB641C">
        <w:tc>
          <w:tcPr>
            <w:tcW w:w="9212" w:type="dxa"/>
            <w:shd w:val="clear" w:color="auto" w:fill="FFFFFF" w:themeFill="background1"/>
          </w:tcPr>
          <w:p w:rsidR="00BB641C" w:rsidRPr="00783FA0" w:rsidRDefault="00BB641C" w:rsidP="00BB641C">
            <w:pPr>
              <w:spacing w:before="120" w:after="120"/>
              <w:jc w:val="both"/>
              <w:rPr>
                <w:sz w:val="24"/>
                <w:szCs w:val="24"/>
              </w:rPr>
            </w:pPr>
            <w:r>
              <w:rPr>
                <w:sz w:val="24"/>
                <w:szCs w:val="24"/>
              </w:rPr>
              <w:t xml:space="preserve">Pour plus d’informations, possibilité de contacter JL VIGNOT  02 32 88 67 53 </w:t>
            </w:r>
          </w:p>
          <w:p w:rsidR="00BB641C" w:rsidRDefault="00BB641C" w:rsidP="00BB641C">
            <w:pPr>
              <w:spacing w:before="120" w:after="120"/>
              <w:jc w:val="both"/>
              <w:rPr>
                <w:sz w:val="24"/>
                <w:szCs w:val="24"/>
              </w:rPr>
            </w:pPr>
            <w:r>
              <w:rPr>
                <w:sz w:val="24"/>
                <w:szCs w:val="24"/>
              </w:rPr>
              <w:t xml:space="preserve">Pour candidater, rendez-vous sur </w:t>
            </w:r>
            <w:hyperlink r:id="rId11" w:history="1">
              <w:r w:rsidRPr="00FB15FD">
                <w:rPr>
                  <w:rStyle w:val="Lienhypertexte"/>
                  <w:sz w:val="24"/>
                  <w:szCs w:val="24"/>
                </w:rPr>
                <w:t>www.chu-rouen.fr</w:t>
              </w:r>
            </w:hyperlink>
            <w:r>
              <w:rPr>
                <w:sz w:val="24"/>
                <w:szCs w:val="24"/>
              </w:rPr>
              <w:t>, rubrique « Nous recrutons ».</w:t>
            </w:r>
          </w:p>
        </w:tc>
      </w:tr>
    </w:tbl>
    <w:p w:rsidR="000D2093" w:rsidRPr="000D2093" w:rsidRDefault="000D2093" w:rsidP="000D2093">
      <w:pPr>
        <w:jc w:val="both"/>
        <w:rPr>
          <w:sz w:val="24"/>
          <w:szCs w:val="24"/>
        </w:rPr>
      </w:pPr>
    </w:p>
    <w:p w:rsidR="007B7FB4" w:rsidRDefault="007B7FB4" w:rsidP="00CA2472">
      <w:pPr>
        <w:jc w:val="both"/>
        <w:rPr>
          <w:sz w:val="24"/>
          <w:szCs w:val="24"/>
        </w:rPr>
      </w:pPr>
    </w:p>
    <w:p w:rsidR="00CA2472" w:rsidRPr="00CA2472" w:rsidRDefault="00CA2472" w:rsidP="002E2345">
      <w:pPr>
        <w:pBdr>
          <w:bottom w:val="dotted" w:sz="4" w:space="0" w:color="auto"/>
        </w:pBdr>
        <w:ind w:left="-851" w:right="-851"/>
        <w:jc w:val="both"/>
        <w:rPr>
          <w:sz w:val="24"/>
          <w:szCs w:val="24"/>
        </w:rPr>
      </w:pPr>
    </w:p>
    <w:p w:rsidR="000D2093" w:rsidRDefault="000D2093" w:rsidP="000D2093">
      <w:pPr>
        <w:jc w:val="both"/>
        <w:rPr>
          <w:sz w:val="24"/>
          <w:szCs w:val="24"/>
        </w:rPr>
      </w:pPr>
    </w:p>
    <w:p w:rsidR="00CA2472" w:rsidRDefault="00CA2472" w:rsidP="00F24744">
      <w:pPr>
        <w:pBdr>
          <w:bottom w:val="dotted" w:sz="4" w:space="1" w:color="auto"/>
        </w:pBdr>
        <w:ind w:left="-851" w:right="-851"/>
        <w:jc w:val="both"/>
        <w:rPr>
          <w:sz w:val="24"/>
          <w:szCs w:val="24"/>
          <w:highlight w:val="yellow"/>
        </w:rPr>
      </w:pPr>
    </w:p>
    <w:p w:rsidR="000D2093" w:rsidRDefault="000D2093" w:rsidP="00446EA4">
      <w:pPr>
        <w:jc w:val="both"/>
        <w:rPr>
          <w:sz w:val="24"/>
          <w:szCs w:val="24"/>
        </w:rPr>
      </w:pPr>
    </w:p>
    <w:p w:rsidR="00CA2472" w:rsidRDefault="00CA2472" w:rsidP="00B6354B">
      <w:pPr>
        <w:rPr>
          <w:sz w:val="24"/>
          <w:szCs w:val="24"/>
        </w:rPr>
      </w:pPr>
    </w:p>
    <w:p w:rsidR="00B6354B" w:rsidRDefault="00B6354B" w:rsidP="00B6354B">
      <w:pPr>
        <w:rPr>
          <w:sz w:val="24"/>
          <w:szCs w:val="24"/>
        </w:rPr>
      </w:pPr>
    </w:p>
    <w:p w:rsidR="007B7FB4" w:rsidRDefault="007B7FB4" w:rsidP="007B7FB4">
      <w:pPr>
        <w:jc w:val="both"/>
        <w:rPr>
          <w:sz w:val="24"/>
          <w:szCs w:val="24"/>
        </w:rPr>
      </w:pPr>
    </w:p>
    <w:p w:rsidR="000D2093" w:rsidRDefault="000D2093" w:rsidP="007B7FB4">
      <w:pPr>
        <w:jc w:val="both"/>
        <w:rPr>
          <w:sz w:val="24"/>
          <w:szCs w:val="24"/>
        </w:rPr>
      </w:pPr>
    </w:p>
    <w:p w:rsidR="000D2093" w:rsidRDefault="000D2093" w:rsidP="007B7FB4">
      <w:pPr>
        <w:jc w:val="both"/>
        <w:rPr>
          <w:sz w:val="24"/>
          <w:szCs w:val="24"/>
        </w:rPr>
      </w:pPr>
    </w:p>
    <w:sectPr w:rsidR="000D2093" w:rsidSect="00F24744">
      <w:headerReference w:type="even" r:id="rId12"/>
      <w:headerReference w:type="default" r:id="rId13"/>
      <w:headerReference w:type="first" r:id="rId14"/>
      <w:pgSz w:w="11906" w:h="16838"/>
      <w:pgMar w:top="1417" w:right="1417" w:bottom="1417" w:left="1417"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91" w:rsidRDefault="00BE2D91" w:rsidP="00B6354B">
      <w:pPr>
        <w:spacing w:after="0" w:line="240" w:lineRule="auto"/>
      </w:pPr>
      <w:r>
        <w:separator/>
      </w:r>
    </w:p>
  </w:endnote>
  <w:endnote w:type="continuationSeparator" w:id="0">
    <w:p w:rsidR="00BE2D91" w:rsidRDefault="00BE2D91" w:rsidP="00B6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91" w:rsidRDefault="00BE2D91" w:rsidP="00B6354B">
      <w:pPr>
        <w:spacing w:after="0" w:line="240" w:lineRule="auto"/>
      </w:pPr>
      <w:r>
        <w:separator/>
      </w:r>
    </w:p>
  </w:footnote>
  <w:footnote w:type="continuationSeparator" w:id="0">
    <w:p w:rsidR="00BE2D91" w:rsidRDefault="00BE2D91" w:rsidP="00B6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4B" w:rsidRDefault="00BE2D91">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3532" o:spid="_x0000_s2053" type="#_x0000_t75" style="position:absolute;margin-left:0;margin-top:0;width:453.6pt;height:604.8pt;z-index:-251657216;mso-position-horizontal:center;mso-position-horizontal-relative:margin;mso-position-vertical:center;mso-position-vertical-relative:margin" o:allowincell="f">
          <v:imagedata r:id="rId1" o:title="F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4B" w:rsidRDefault="00BE2D91" w:rsidP="0027672C">
    <w:pPr>
      <w:pStyle w:val="En-tte"/>
      <w:tabs>
        <w:tab w:val="clear" w:pos="4536"/>
        <w:tab w:val="clear" w:pos="9072"/>
        <w:tab w:val="left" w:pos="6306"/>
      </w:tabs>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3533" o:spid="_x0000_s2054" type="#_x0000_t75" style="position:absolute;margin-left:-46.7pt;margin-top:-1in;width:548.55pt;height:789.2pt;z-index:-251656192;mso-position-horizontal-relative:margin;mso-position-vertical-relative:margin" o:allowincell="f">
          <v:imagedata r:id="rId1" o:title="FOND" cropbottom="1094f" cropleft="2040f" cropright="3775f"/>
          <w10:wrap anchorx="margin" anchory="margin"/>
        </v:shape>
      </w:pict>
    </w:r>
    <w:r w:rsidR="00B6354B" w:rsidRPr="00B6354B">
      <w:rPr>
        <w:noProof/>
        <w:lang w:eastAsia="fr-FR"/>
      </w:rPr>
      <w:drawing>
        <wp:inline distT="0" distB="0" distL="0" distR="0" wp14:anchorId="6FF15A2B" wp14:editId="0C563A07">
          <wp:extent cx="1349699" cy="648586"/>
          <wp:effectExtent l="0" t="0" r="317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5651" cy="651446"/>
                  </a:xfrm>
                  <a:prstGeom prst="rect">
                    <a:avLst/>
                  </a:prstGeom>
                </pic:spPr>
              </pic:pic>
            </a:graphicData>
          </a:graphic>
        </wp:inline>
      </w:drawing>
    </w:r>
    <w:r w:rsidR="0027672C">
      <w:tab/>
    </w:r>
  </w:p>
  <w:p w:rsidR="00B6354B" w:rsidRPr="00B6354B" w:rsidRDefault="00B6354B" w:rsidP="00B6354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4B" w:rsidRDefault="00BE2D91">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83531" o:spid="_x0000_s2052" type="#_x0000_t75" style="position:absolute;margin-left:0;margin-top:0;width:453.6pt;height:604.8pt;z-index:-251658240;mso-position-horizontal:center;mso-position-horizontal-relative:margin;mso-position-vertical:center;mso-position-vertical-relative:margin" o:allowincell="f">
          <v:imagedata r:id="rId1" o:title="F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0A6"/>
    <w:multiLevelType w:val="hybridMultilevel"/>
    <w:tmpl w:val="917A5B38"/>
    <w:lvl w:ilvl="0" w:tplc="4A60A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A473A5"/>
    <w:multiLevelType w:val="hybridMultilevel"/>
    <w:tmpl w:val="AF829B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CF32F2"/>
    <w:multiLevelType w:val="hybridMultilevel"/>
    <w:tmpl w:val="D7B007C8"/>
    <w:lvl w:ilvl="0" w:tplc="8E0A8794">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527541"/>
    <w:multiLevelType w:val="hybridMultilevel"/>
    <w:tmpl w:val="A7F6F102"/>
    <w:lvl w:ilvl="0" w:tplc="E9FAB9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15"/>
    <w:rsid w:val="00040B38"/>
    <w:rsid w:val="00053AC1"/>
    <w:rsid w:val="000C6315"/>
    <w:rsid w:val="000D2093"/>
    <w:rsid w:val="001813F8"/>
    <w:rsid w:val="001E1B71"/>
    <w:rsid w:val="0027672C"/>
    <w:rsid w:val="002A3AED"/>
    <w:rsid w:val="002B0E6D"/>
    <w:rsid w:val="002E2345"/>
    <w:rsid w:val="002F0D83"/>
    <w:rsid w:val="0032250E"/>
    <w:rsid w:val="00390015"/>
    <w:rsid w:val="0041720B"/>
    <w:rsid w:val="00446EA4"/>
    <w:rsid w:val="00466C95"/>
    <w:rsid w:val="004709B9"/>
    <w:rsid w:val="00475D45"/>
    <w:rsid w:val="004B397F"/>
    <w:rsid w:val="005220E2"/>
    <w:rsid w:val="00546B70"/>
    <w:rsid w:val="005F3127"/>
    <w:rsid w:val="005F42BD"/>
    <w:rsid w:val="00616C2D"/>
    <w:rsid w:val="007810D3"/>
    <w:rsid w:val="00783FA0"/>
    <w:rsid w:val="007A0C6D"/>
    <w:rsid w:val="007A4E96"/>
    <w:rsid w:val="007B7FB4"/>
    <w:rsid w:val="008527C2"/>
    <w:rsid w:val="008C0E4C"/>
    <w:rsid w:val="00A95467"/>
    <w:rsid w:val="00B6354B"/>
    <w:rsid w:val="00B711D8"/>
    <w:rsid w:val="00BA160B"/>
    <w:rsid w:val="00BB641C"/>
    <w:rsid w:val="00BE2D91"/>
    <w:rsid w:val="00CA2472"/>
    <w:rsid w:val="00CE057E"/>
    <w:rsid w:val="00D97C5A"/>
    <w:rsid w:val="00DA3075"/>
    <w:rsid w:val="00E07EAF"/>
    <w:rsid w:val="00E92587"/>
    <w:rsid w:val="00EC0B83"/>
    <w:rsid w:val="00F24744"/>
    <w:rsid w:val="00F300A0"/>
    <w:rsid w:val="00F4437D"/>
    <w:rsid w:val="00F55622"/>
    <w:rsid w:val="00FF3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6298B14-1732-4A42-B732-6BCFB1CF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9"/>
    <w:qFormat/>
    <w:rsid w:val="00F4437D"/>
    <w:pPr>
      <w:keepNext/>
      <w:spacing w:after="0" w:line="240" w:lineRule="auto"/>
      <w:outlineLvl w:val="3"/>
    </w:pPr>
    <w:rPr>
      <w:rFonts w:ascii="Arial" w:eastAsia="Times New Roman" w:hAnsi="Arial" w:cs="Arial"/>
      <w:b/>
      <w:bCs/>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220E2"/>
    <w:pPr>
      <w:ind w:left="720"/>
      <w:contextualSpacing/>
    </w:pPr>
  </w:style>
  <w:style w:type="paragraph" w:styleId="Textedebulles">
    <w:name w:val="Balloon Text"/>
    <w:basedOn w:val="Normal"/>
    <w:link w:val="TextedebullesCar"/>
    <w:uiPriority w:val="99"/>
    <w:semiHidden/>
    <w:unhideWhenUsed/>
    <w:rsid w:val="00CA2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472"/>
    <w:rPr>
      <w:rFonts w:ascii="Tahoma" w:hAnsi="Tahoma" w:cs="Tahoma"/>
      <w:sz w:val="16"/>
      <w:szCs w:val="16"/>
    </w:rPr>
  </w:style>
  <w:style w:type="paragraph" w:styleId="En-tte">
    <w:name w:val="header"/>
    <w:basedOn w:val="Normal"/>
    <w:link w:val="En-tteCar"/>
    <w:uiPriority w:val="99"/>
    <w:unhideWhenUsed/>
    <w:rsid w:val="00B6354B"/>
    <w:pPr>
      <w:tabs>
        <w:tab w:val="center" w:pos="4536"/>
        <w:tab w:val="right" w:pos="9072"/>
      </w:tabs>
      <w:spacing w:after="0" w:line="240" w:lineRule="auto"/>
    </w:pPr>
  </w:style>
  <w:style w:type="character" w:customStyle="1" w:styleId="En-tteCar">
    <w:name w:val="En-tête Car"/>
    <w:basedOn w:val="Policepardfaut"/>
    <w:link w:val="En-tte"/>
    <w:uiPriority w:val="99"/>
    <w:rsid w:val="00B6354B"/>
  </w:style>
  <w:style w:type="paragraph" w:styleId="Pieddepage">
    <w:name w:val="footer"/>
    <w:basedOn w:val="Normal"/>
    <w:link w:val="PieddepageCar"/>
    <w:uiPriority w:val="99"/>
    <w:unhideWhenUsed/>
    <w:rsid w:val="00B635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54B"/>
  </w:style>
  <w:style w:type="table" w:styleId="Grilledutableau">
    <w:name w:val="Table Grid"/>
    <w:basedOn w:val="TableauNormal"/>
    <w:uiPriority w:val="39"/>
    <w:rsid w:val="00B6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D2093"/>
    <w:rPr>
      <w:color w:val="0563C1" w:themeColor="hyperlink"/>
      <w:u w:val="single"/>
    </w:rPr>
  </w:style>
  <w:style w:type="character" w:customStyle="1" w:styleId="Titre4Car">
    <w:name w:val="Titre 4 Car"/>
    <w:basedOn w:val="Policepardfaut"/>
    <w:link w:val="Titre4"/>
    <w:uiPriority w:val="99"/>
    <w:rsid w:val="00F4437D"/>
    <w:rPr>
      <w:rFonts w:ascii="Arial" w:eastAsia="Times New Roman" w:hAnsi="Arial" w:cs="Arial"/>
      <w:b/>
      <w:bCs/>
      <w:sz w:val="20"/>
      <w:szCs w:val="20"/>
      <w:u w:val="single"/>
      <w:lang w:eastAsia="fr-FR"/>
    </w:rPr>
  </w:style>
  <w:style w:type="paragraph" w:customStyle="1" w:styleId="Default">
    <w:name w:val="Default"/>
    <w:uiPriority w:val="99"/>
    <w:rsid w:val="00F4437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
    <w:name w:val="Body Text"/>
    <w:basedOn w:val="Normal"/>
    <w:link w:val="CorpsdetexteCar"/>
    <w:rsid w:val="00E07EAF"/>
    <w:pPr>
      <w:spacing w:after="0" w:line="240" w:lineRule="auto"/>
      <w:jc w:val="both"/>
    </w:pPr>
    <w:rPr>
      <w:rFonts w:ascii="Arial" w:eastAsia="Times New Roman" w:hAnsi="Arial" w:cs="Times New Roman"/>
      <w:lang w:eastAsia="fr-FR"/>
    </w:rPr>
  </w:style>
  <w:style w:type="character" w:customStyle="1" w:styleId="CorpsdetexteCar">
    <w:name w:val="Corps de texte Car"/>
    <w:basedOn w:val="Policepardfaut"/>
    <w:link w:val="Corpsdetexte"/>
    <w:rsid w:val="00E07EAF"/>
    <w:rPr>
      <w:rFonts w:ascii="Arial" w:eastAsia="Times New Roman" w:hAnsi="Arial"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oue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2525-76E9-44F4-B540-6D278265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Centre Hospitalier de Versailles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DELCROS Eric</dc:creator>
  <cp:lastModifiedBy>KURTI, Fiona</cp:lastModifiedBy>
  <cp:revision>2</cp:revision>
  <cp:lastPrinted>2021-10-05T16:18:00Z</cp:lastPrinted>
  <dcterms:created xsi:type="dcterms:W3CDTF">2023-07-04T06:50:00Z</dcterms:created>
  <dcterms:modified xsi:type="dcterms:W3CDTF">2023-07-04T06:50:00Z</dcterms:modified>
</cp:coreProperties>
</file>